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92" w:rsidRPr="00C12860" w:rsidRDefault="00C12860" w:rsidP="00C12860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 w:rsidRPr="00C12860">
        <w:rPr>
          <w:rFonts w:ascii="Arial" w:hAnsi="Arial" w:cs="Arial"/>
          <w:b/>
          <w:sz w:val="24"/>
          <w:szCs w:val="24"/>
          <w:u w:val="single"/>
        </w:rPr>
        <w:t>Birmingham Community Healthcare</w:t>
      </w:r>
    </w:p>
    <w:p w:rsidR="00C12860" w:rsidRDefault="00444D0E" w:rsidP="00C12860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proofErr w:type="spellStart"/>
      <w:r>
        <w:rPr>
          <w:rFonts w:ascii="Arial" w:hAnsi="Arial" w:cs="Arial"/>
          <w:b/>
          <w:sz w:val="24"/>
          <w:szCs w:val="24"/>
          <w:u w:val="single"/>
        </w:rPr>
        <w:t>Varenicline</w:t>
      </w:r>
      <w:proofErr w:type="spellEnd"/>
      <w:r w:rsidR="00A657E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12860" w:rsidRPr="00C12860">
        <w:rPr>
          <w:rFonts w:ascii="Arial" w:hAnsi="Arial" w:cs="Arial"/>
          <w:b/>
          <w:sz w:val="24"/>
          <w:szCs w:val="24"/>
          <w:u w:val="single"/>
        </w:rPr>
        <w:t>TA 123 implantation pathway</w:t>
      </w:r>
    </w:p>
    <w:p w:rsidR="00C12860" w:rsidRDefault="00C12860" w:rsidP="00C12860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Data</w:t>
      </w:r>
    </w:p>
    <w:p w:rsidR="00C12860" w:rsidRDefault="00C12860" w:rsidP="00C12860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C12860" w:rsidRDefault="00DC05BF" w:rsidP="00C1286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Table 1 </w:t>
      </w:r>
      <w:r w:rsidR="00C12860">
        <w:rPr>
          <w:rFonts w:ascii="Arial" w:hAnsi="Arial" w:cs="Arial"/>
          <w:sz w:val="24"/>
          <w:szCs w:val="24"/>
        </w:rPr>
        <w:t>Proportion of use 2011-2 v 2012-3</w:t>
      </w:r>
    </w:p>
    <w:p w:rsidR="00C12860" w:rsidRPr="00DC05BF" w:rsidRDefault="00C12860" w:rsidP="00C1286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C05BF">
        <w:rPr>
          <w:rFonts w:ascii="Arial" w:hAnsi="Arial" w:cs="Arial"/>
          <w:sz w:val="24"/>
          <w:szCs w:val="24"/>
        </w:rPr>
        <w:t xml:space="preserve">11/12 </w:t>
      </w:r>
    </w:p>
    <w:p w:rsidR="00C12860" w:rsidRPr="00DC05BF" w:rsidRDefault="00C12860" w:rsidP="00C1286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C05BF">
        <w:rPr>
          <w:rFonts w:ascii="Arial" w:hAnsi="Arial" w:cs="Arial"/>
          <w:sz w:val="24"/>
          <w:szCs w:val="24"/>
        </w:rPr>
        <w:t>NRT = 79.4%</w:t>
      </w:r>
    </w:p>
    <w:p w:rsidR="00C12860" w:rsidRPr="00DC05BF" w:rsidRDefault="00C12860" w:rsidP="00C12860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DC05BF">
        <w:rPr>
          <w:rFonts w:ascii="Arial" w:hAnsi="Arial" w:cs="Arial"/>
          <w:sz w:val="24"/>
          <w:szCs w:val="24"/>
        </w:rPr>
        <w:t>Champix</w:t>
      </w:r>
      <w:proofErr w:type="spellEnd"/>
      <w:r w:rsidRPr="00DC05BF">
        <w:rPr>
          <w:rFonts w:ascii="Arial" w:hAnsi="Arial" w:cs="Arial"/>
          <w:sz w:val="24"/>
          <w:szCs w:val="24"/>
        </w:rPr>
        <w:t xml:space="preserve"> = 15.7%</w:t>
      </w:r>
    </w:p>
    <w:p w:rsidR="00C12860" w:rsidRPr="00DC05BF" w:rsidRDefault="00C12860" w:rsidP="00C1286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2860" w:rsidRPr="00DC05BF" w:rsidRDefault="00C12860" w:rsidP="00C1286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C05BF">
        <w:rPr>
          <w:rFonts w:ascii="Arial" w:hAnsi="Arial" w:cs="Arial"/>
          <w:sz w:val="24"/>
          <w:szCs w:val="24"/>
        </w:rPr>
        <w:t xml:space="preserve">12/13 data so far (this is not </w:t>
      </w:r>
      <w:proofErr w:type="gramStart"/>
      <w:r w:rsidRPr="00DC05BF">
        <w:rPr>
          <w:rFonts w:ascii="Arial" w:hAnsi="Arial" w:cs="Arial"/>
          <w:sz w:val="24"/>
          <w:szCs w:val="24"/>
        </w:rPr>
        <w:t>including  all</w:t>
      </w:r>
      <w:proofErr w:type="gramEnd"/>
      <w:r w:rsidRPr="00DC05BF">
        <w:rPr>
          <w:rFonts w:ascii="Arial" w:hAnsi="Arial" w:cs="Arial"/>
          <w:sz w:val="24"/>
          <w:szCs w:val="24"/>
        </w:rPr>
        <w:t xml:space="preserve"> Q4 data our busiest  quarter) </w:t>
      </w:r>
    </w:p>
    <w:p w:rsidR="00C12860" w:rsidRPr="00DC05BF" w:rsidRDefault="00C12860" w:rsidP="00C1286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C05BF">
        <w:rPr>
          <w:rFonts w:ascii="Arial" w:hAnsi="Arial" w:cs="Arial"/>
          <w:sz w:val="24"/>
          <w:szCs w:val="24"/>
        </w:rPr>
        <w:t> </w:t>
      </w:r>
      <w:proofErr w:type="gramStart"/>
      <w:r w:rsidRPr="00DC05BF">
        <w:rPr>
          <w:rFonts w:ascii="Arial" w:hAnsi="Arial" w:cs="Arial"/>
          <w:sz w:val="24"/>
          <w:szCs w:val="24"/>
        </w:rPr>
        <w:t>NRT  79.1</w:t>
      </w:r>
      <w:proofErr w:type="gramEnd"/>
      <w:r w:rsidRPr="00DC05BF">
        <w:rPr>
          <w:rFonts w:ascii="Arial" w:hAnsi="Arial" w:cs="Arial"/>
          <w:sz w:val="24"/>
          <w:szCs w:val="24"/>
        </w:rPr>
        <w:t xml:space="preserve">% </w:t>
      </w:r>
    </w:p>
    <w:p w:rsidR="00C12860" w:rsidRPr="00DC05BF" w:rsidRDefault="00C12860" w:rsidP="00C12860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DC05BF">
        <w:rPr>
          <w:rFonts w:ascii="Arial" w:hAnsi="Arial" w:cs="Arial"/>
          <w:sz w:val="24"/>
          <w:szCs w:val="24"/>
        </w:rPr>
        <w:t>Champix</w:t>
      </w:r>
      <w:proofErr w:type="spellEnd"/>
      <w:r w:rsidRPr="00DC05BF">
        <w:rPr>
          <w:rFonts w:ascii="Arial" w:hAnsi="Arial" w:cs="Arial"/>
          <w:sz w:val="24"/>
          <w:szCs w:val="24"/>
        </w:rPr>
        <w:t xml:space="preserve"> 17.8%</w:t>
      </w:r>
    </w:p>
    <w:p w:rsidR="00C12860" w:rsidRDefault="00C12860" w:rsidP="00C12860">
      <w:pPr>
        <w:pStyle w:val="NoSpacing"/>
        <w:rPr>
          <w:rFonts w:ascii="Arial" w:hAnsi="Arial" w:cs="Arial"/>
          <w:sz w:val="24"/>
          <w:szCs w:val="24"/>
        </w:rPr>
      </w:pPr>
    </w:p>
    <w:p w:rsidR="00C12860" w:rsidRDefault="00DC05BF" w:rsidP="00C1286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Table 2 </w:t>
      </w:r>
      <w:r w:rsidR="00C12860">
        <w:rPr>
          <w:rFonts w:ascii="Arial" w:hAnsi="Arial" w:cs="Arial"/>
          <w:sz w:val="24"/>
          <w:szCs w:val="24"/>
        </w:rPr>
        <w:t xml:space="preserve">Total Numbers who used smoking cessation therapy </w:t>
      </w:r>
      <w:r w:rsidR="00A657EB">
        <w:rPr>
          <w:rFonts w:ascii="Arial" w:hAnsi="Arial" w:cs="Arial"/>
          <w:sz w:val="24"/>
          <w:szCs w:val="24"/>
        </w:rPr>
        <w:t>1.4.12 to 12.2.13</w:t>
      </w:r>
    </w:p>
    <w:p w:rsidR="00A657EB" w:rsidRDefault="00A657EB" w:rsidP="00C12860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6"/>
        <w:gridCol w:w="1265"/>
        <w:gridCol w:w="1003"/>
      </w:tblGrid>
      <w:tr w:rsidR="001F4D1D" w:rsidTr="001F4D1D">
        <w:tc>
          <w:tcPr>
            <w:tcW w:w="1276" w:type="dxa"/>
          </w:tcPr>
          <w:p w:rsidR="001F4D1D" w:rsidRPr="001F4D1D" w:rsidRDefault="001F4D1D" w:rsidP="001F4D1D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65" w:type="dxa"/>
            <w:vAlign w:val="bottom"/>
          </w:tcPr>
          <w:p w:rsidR="001F4D1D" w:rsidRPr="001F4D1D" w:rsidRDefault="001F4D1D" w:rsidP="001F4D1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F4D1D">
              <w:rPr>
                <w:rFonts w:ascii="Arial" w:eastAsia="Times New Roman" w:hAnsi="Arial" w:cs="Arial"/>
                <w:color w:val="000000"/>
              </w:rPr>
              <w:t>Total Access</w:t>
            </w:r>
          </w:p>
        </w:tc>
        <w:tc>
          <w:tcPr>
            <w:tcW w:w="1003" w:type="dxa"/>
            <w:vAlign w:val="bottom"/>
          </w:tcPr>
          <w:p w:rsidR="001F4D1D" w:rsidRPr="001F4D1D" w:rsidRDefault="001F4D1D" w:rsidP="001F4D1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F4D1D">
              <w:rPr>
                <w:rFonts w:ascii="Arial" w:eastAsia="Times New Roman" w:hAnsi="Arial" w:cs="Arial"/>
                <w:color w:val="000000"/>
              </w:rPr>
              <w:t>Total Quit</w:t>
            </w:r>
          </w:p>
        </w:tc>
      </w:tr>
      <w:tr w:rsidR="001F4D1D" w:rsidTr="001F4D1D">
        <w:tc>
          <w:tcPr>
            <w:tcW w:w="1276" w:type="dxa"/>
            <w:vAlign w:val="bottom"/>
          </w:tcPr>
          <w:p w:rsidR="001F4D1D" w:rsidRPr="001F4D1D" w:rsidRDefault="001F4D1D" w:rsidP="001F4D1D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1F4D1D">
              <w:rPr>
                <w:rFonts w:ascii="Arial" w:eastAsia="Times New Roman" w:hAnsi="Arial" w:cs="Arial"/>
                <w:color w:val="000000"/>
              </w:rPr>
              <w:t>Male</w:t>
            </w:r>
          </w:p>
        </w:tc>
        <w:tc>
          <w:tcPr>
            <w:tcW w:w="1265" w:type="dxa"/>
            <w:vAlign w:val="bottom"/>
          </w:tcPr>
          <w:p w:rsidR="001F4D1D" w:rsidRPr="001F4D1D" w:rsidRDefault="001F4D1D" w:rsidP="001F4D1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F4D1D">
              <w:rPr>
                <w:rFonts w:ascii="Arial" w:eastAsia="Times New Roman" w:hAnsi="Arial" w:cs="Arial"/>
                <w:color w:val="000000"/>
              </w:rPr>
              <w:t>4349</w:t>
            </w:r>
          </w:p>
        </w:tc>
        <w:tc>
          <w:tcPr>
            <w:tcW w:w="1003" w:type="dxa"/>
            <w:vAlign w:val="bottom"/>
          </w:tcPr>
          <w:p w:rsidR="001F4D1D" w:rsidRPr="001F4D1D" w:rsidRDefault="001F4D1D" w:rsidP="001F4D1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F4D1D">
              <w:rPr>
                <w:rFonts w:ascii="Arial" w:eastAsia="Times New Roman" w:hAnsi="Arial" w:cs="Arial"/>
                <w:color w:val="000000"/>
              </w:rPr>
              <w:t>2266</w:t>
            </w:r>
          </w:p>
        </w:tc>
      </w:tr>
      <w:tr w:rsidR="001F4D1D" w:rsidTr="001F4D1D">
        <w:tc>
          <w:tcPr>
            <w:tcW w:w="1276" w:type="dxa"/>
            <w:vAlign w:val="bottom"/>
          </w:tcPr>
          <w:p w:rsidR="001F4D1D" w:rsidRPr="001F4D1D" w:rsidRDefault="001F4D1D" w:rsidP="001F4D1D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1F4D1D">
              <w:rPr>
                <w:rFonts w:ascii="Arial" w:eastAsia="Times New Roman" w:hAnsi="Arial" w:cs="Arial"/>
                <w:color w:val="000000"/>
              </w:rPr>
              <w:t>Female</w:t>
            </w:r>
          </w:p>
        </w:tc>
        <w:tc>
          <w:tcPr>
            <w:tcW w:w="1265" w:type="dxa"/>
            <w:vAlign w:val="bottom"/>
          </w:tcPr>
          <w:p w:rsidR="001F4D1D" w:rsidRPr="001F4D1D" w:rsidRDefault="001F4D1D" w:rsidP="001F4D1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F4D1D">
              <w:rPr>
                <w:rFonts w:ascii="Arial" w:eastAsia="Times New Roman" w:hAnsi="Arial" w:cs="Arial"/>
                <w:color w:val="000000"/>
              </w:rPr>
              <w:t>4491</w:t>
            </w:r>
          </w:p>
        </w:tc>
        <w:tc>
          <w:tcPr>
            <w:tcW w:w="1003" w:type="dxa"/>
            <w:vAlign w:val="bottom"/>
          </w:tcPr>
          <w:p w:rsidR="001F4D1D" w:rsidRPr="001F4D1D" w:rsidRDefault="001F4D1D" w:rsidP="001F4D1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F4D1D">
              <w:rPr>
                <w:rFonts w:ascii="Arial" w:eastAsia="Times New Roman" w:hAnsi="Arial" w:cs="Arial"/>
                <w:color w:val="000000"/>
              </w:rPr>
              <w:t>2179</w:t>
            </w:r>
          </w:p>
        </w:tc>
      </w:tr>
      <w:tr w:rsidR="001F4D1D" w:rsidTr="001F4D1D">
        <w:tc>
          <w:tcPr>
            <w:tcW w:w="1276" w:type="dxa"/>
          </w:tcPr>
          <w:p w:rsidR="001F4D1D" w:rsidRPr="001F4D1D" w:rsidRDefault="001F4D1D" w:rsidP="001F4D1D">
            <w:pPr>
              <w:pStyle w:val="NoSpacing"/>
              <w:jc w:val="right"/>
              <w:rPr>
                <w:rFonts w:ascii="Arial" w:hAnsi="Arial" w:cs="Arial"/>
              </w:rPr>
            </w:pPr>
            <w:r w:rsidRPr="001F4D1D">
              <w:rPr>
                <w:rFonts w:ascii="Arial" w:hAnsi="Arial" w:cs="Arial"/>
              </w:rPr>
              <w:t>Total</w:t>
            </w:r>
          </w:p>
        </w:tc>
        <w:tc>
          <w:tcPr>
            <w:tcW w:w="1265" w:type="dxa"/>
          </w:tcPr>
          <w:p w:rsidR="001F4D1D" w:rsidRPr="001F4D1D" w:rsidRDefault="001F4D1D" w:rsidP="001F4D1D">
            <w:pPr>
              <w:pStyle w:val="NoSpacing"/>
              <w:jc w:val="center"/>
              <w:rPr>
                <w:rFonts w:ascii="Arial" w:hAnsi="Arial" w:cs="Arial"/>
              </w:rPr>
            </w:pPr>
            <w:r w:rsidRPr="001F4D1D">
              <w:rPr>
                <w:rFonts w:ascii="Arial" w:hAnsi="Arial" w:cs="Arial"/>
              </w:rPr>
              <w:t>8840</w:t>
            </w:r>
          </w:p>
        </w:tc>
        <w:tc>
          <w:tcPr>
            <w:tcW w:w="1003" w:type="dxa"/>
          </w:tcPr>
          <w:p w:rsidR="001F4D1D" w:rsidRPr="001F4D1D" w:rsidRDefault="001F4D1D" w:rsidP="001F4D1D">
            <w:pPr>
              <w:pStyle w:val="NoSpacing"/>
              <w:jc w:val="center"/>
              <w:rPr>
                <w:rFonts w:ascii="Arial" w:hAnsi="Arial" w:cs="Arial"/>
              </w:rPr>
            </w:pPr>
            <w:r w:rsidRPr="001F4D1D">
              <w:rPr>
                <w:rFonts w:ascii="Arial" w:hAnsi="Arial" w:cs="Arial"/>
              </w:rPr>
              <w:t>4445</w:t>
            </w:r>
          </w:p>
        </w:tc>
      </w:tr>
    </w:tbl>
    <w:p w:rsidR="001F4D1D" w:rsidRDefault="001F4D1D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1F4D1D" w:rsidRDefault="001F4D1D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Table 3 Percentage of people accessing smoking cessation therapy by principal ethnic groups</w:t>
      </w: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tbl>
      <w:tblPr>
        <w:tblW w:w="6820" w:type="dxa"/>
        <w:tblInd w:w="94" w:type="dxa"/>
        <w:tblLook w:val="04A0" w:firstRow="1" w:lastRow="0" w:firstColumn="1" w:lastColumn="0" w:noHBand="0" w:noVBand="1"/>
      </w:tblPr>
      <w:tblGrid>
        <w:gridCol w:w="1640"/>
        <w:gridCol w:w="1243"/>
        <w:gridCol w:w="960"/>
        <w:gridCol w:w="1000"/>
        <w:gridCol w:w="1070"/>
        <w:gridCol w:w="1120"/>
      </w:tblGrid>
      <w:tr w:rsidR="00DC05BF" w:rsidRPr="00DC05BF" w:rsidTr="00DC05BF">
        <w:trPr>
          <w:trHeight w:val="99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3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Percentage Smokers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Pop Est. 2011 Census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8DB4E3"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Est. Smokers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8DB4E3"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Smoking cessation therapy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smoking cessation therapy %</w:t>
            </w:r>
          </w:p>
        </w:tc>
      </w:tr>
      <w:tr w:rsidR="00DC05BF" w:rsidRPr="00DC05BF" w:rsidTr="00DC05BF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DB4E3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White - British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26.4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531,000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140,291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6577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4.7%</w:t>
            </w:r>
          </w:p>
        </w:tc>
      </w:tr>
      <w:tr w:rsidR="00DC05BF" w:rsidRPr="00DC05BF" w:rsidTr="00DC05BF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DB4E3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Indian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16.8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60,000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10,085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154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1.5%</w:t>
            </w:r>
          </w:p>
        </w:tc>
      </w:tr>
      <w:tr w:rsidR="00DC05BF" w:rsidRPr="00DC05BF" w:rsidTr="00DC05BF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DB4E3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Pakistani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22.9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135,000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30,851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399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1.3%</w:t>
            </w:r>
          </w:p>
        </w:tc>
      </w:tr>
      <w:tr w:rsidR="00DC05BF" w:rsidRPr="00DC05BF" w:rsidTr="00DC05BF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DB4E3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Bangladeshi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14.3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4,286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1.8%</w:t>
            </w:r>
          </w:p>
        </w:tc>
      </w:tr>
      <w:tr w:rsidR="00DC05BF" w:rsidRPr="00DC05BF" w:rsidTr="00DC05BF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DB4E3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Caribbean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24.3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29,000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7,033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205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2.9%</w:t>
            </w:r>
          </w:p>
        </w:tc>
      </w:tr>
      <w:tr w:rsidR="00DC05BF" w:rsidRPr="00DC05BF" w:rsidTr="00DC05BF">
        <w:trPr>
          <w:trHeight w:val="31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b/>
                <w:bCs/>
                <w:color w:val="000000"/>
              </w:rPr>
              <w:t>African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22.2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28,000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6,222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05BF" w:rsidRPr="00DC05BF" w:rsidRDefault="00DC05BF" w:rsidP="00DC05B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C05BF">
              <w:rPr>
                <w:rFonts w:ascii="Calibri" w:eastAsia="Times New Roman" w:hAnsi="Calibri" w:cs="Times New Roman"/>
                <w:color w:val="000000"/>
              </w:rPr>
              <w:t>0.7%</w:t>
            </w:r>
          </w:p>
        </w:tc>
      </w:tr>
    </w:tbl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total population of Birmingham is 1.029M</w:t>
      </w: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DC05BF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A657EB" w:rsidRDefault="00DC05BF" w:rsidP="00A657EB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Table 4 </w:t>
      </w:r>
      <w:r w:rsidR="00A657EB">
        <w:rPr>
          <w:rFonts w:ascii="Arial" w:hAnsi="Arial" w:cs="Arial"/>
          <w:sz w:val="24"/>
          <w:szCs w:val="24"/>
        </w:rPr>
        <w:t>Total access 8831 persons.  Pie chart of 7708 persons showing ethnic distribution.</w:t>
      </w:r>
    </w:p>
    <w:p w:rsidR="00A657EB" w:rsidRDefault="00A657EB" w:rsidP="00C12860">
      <w:pPr>
        <w:pStyle w:val="NoSpacing"/>
        <w:rPr>
          <w:rFonts w:ascii="Arial" w:hAnsi="Arial" w:cs="Arial"/>
          <w:sz w:val="24"/>
          <w:szCs w:val="24"/>
        </w:rPr>
      </w:pPr>
    </w:p>
    <w:p w:rsidR="00A657EB" w:rsidRDefault="00A657EB" w:rsidP="00C12860">
      <w:pPr>
        <w:pStyle w:val="NoSpacing"/>
        <w:rPr>
          <w:rFonts w:ascii="Arial" w:hAnsi="Arial" w:cs="Arial"/>
          <w:sz w:val="24"/>
          <w:szCs w:val="24"/>
        </w:rPr>
      </w:pPr>
    </w:p>
    <w:p w:rsidR="00A657EB" w:rsidRDefault="00A657EB" w:rsidP="00C12860">
      <w:pPr>
        <w:pStyle w:val="NoSpacing"/>
        <w:rPr>
          <w:rFonts w:ascii="Arial" w:hAnsi="Arial" w:cs="Arial"/>
          <w:sz w:val="24"/>
          <w:szCs w:val="24"/>
        </w:rPr>
      </w:pPr>
      <w:r w:rsidRPr="00A657EB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018112" cy="2380890"/>
            <wp:effectExtent l="19050" t="0" r="20488" b="3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657EB" w:rsidRDefault="00A657EB" w:rsidP="00A657EB"/>
    <w:p w:rsidR="00C12860" w:rsidRDefault="00A657EB" w:rsidP="00A657EB">
      <w:pPr>
        <w:rPr>
          <w:rFonts w:ascii="Arial" w:hAnsi="Arial" w:cs="Arial"/>
          <w:sz w:val="24"/>
          <w:szCs w:val="24"/>
        </w:rPr>
      </w:pPr>
      <w:r w:rsidRPr="00444D0E">
        <w:rPr>
          <w:rFonts w:ascii="Arial" w:hAnsi="Arial" w:cs="Arial"/>
          <w:sz w:val="24"/>
          <w:szCs w:val="24"/>
        </w:rPr>
        <w:t xml:space="preserve">Percentage success and percentage use for </w:t>
      </w:r>
      <w:proofErr w:type="spellStart"/>
      <w:r w:rsidR="00444D0E" w:rsidRPr="00444D0E">
        <w:rPr>
          <w:rFonts w:ascii="Arial" w:hAnsi="Arial" w:cs="Arial"/>
          <w:sz w:val="24"/>
          <w:szCs w:val="24"/>
        </w:rPr>
        <w:t>Varenicline</w:t>
      </w:r>
      <w:proofErr w:type="spellEnd"/>
      <w:r w:rsidR="00444D0E" w:rsidRPr="00444D0E">
        <w:rPr>
          <w:rFonts w:ascii="Arial" w:hAnsi="Arial" w:cs="Arial"/>
          <w:sz w:val="24"/>
          <w:szCs w:val="24"/>
        </w:rPr>
        <w:t xml:space="preserve"> and Nicotine replacement therapy (used solely) </w:t>
      </w:r>
      <w:r w:rsidR="003F6EB6">
        <w:rPr>
          <w:rFonts w:ascii="Arial" w:hAnsi="Arial" w:cs="Arial"/>
          <w:sz w:val="24"/>
          <w:szCs w:val="24"/>
        </w:rPr>
        <w:t xml:space="preserve">for a four week outcome. </w:t>
      </w:r>
    </w:p>
    <w:p w:rsidR="00444D0E" w:rsidRPr="00444D0E" w:rsidRDefault="00444D0E" w:rsidP="00A657EB">
      <w:pPr>
        <w:rPr>
          <w:rFonts w:ascii="Arial" w:hAnsi="Arial" w:cs="Arial"/>
          <w:sz w:val="24"/>
          <w:szCs w:val="24"/>
        </w:rPr>
      </w:pPr>
      <w:r w:rsidRPr="00444D0E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444D0E" w:rsidRPr="00444D0E" w:rsidSect="00D906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60"/>
    <w:rsid w:val="001F4D1D"/>
    <w:rsid w:val="002D3B24"/>
    <w:rsid w:val="003F6EB6"/>
    <w:rsid w:val="00444D0E"/>
    <w:rsid w:val="00815992"/>
    <w:rsid w:val="00A657EB"/>
    <w:rsid w:val="00C12860"/>
    <w:rsid w:val="00D90692"/>
    <w:rsid w:val="00DC05BF"/>
    <w:rsid w:val="00E9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286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4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286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4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s-fap04\BENHome$\David.Fish\feb%202013\TA%20123\Champix%20vs%20NRT%20Quit%20Rates%2010%2002%2013-%20David%20Fish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s-fap04\BENHome$\David.Fish\feb%202013\TA%20123\Champix%20vs%20NRT%20Quit%20Rates%2010%2002%2013-%20David%20Fish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pieChart>
        <c:varyColors val="1"/>
        <c:ser>
          <c:idx val="0"/>
          <c:order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Sheet2!$A$2:$A$8</c:f>
              <c:strCache>
                <c:ptCount val="7"/>
                <c:pt idx="0">
                  <c:v>A - White British</c:v>
                </c:pt>
                <c:pt idx="1">
                  <c:v>H - Asian/Asian British Indian</c:v>
                </c:pt>
                <c:pt idx="2">
                  <c:v>J - Asian/Asian British Pakistani</c:v>
                </c:pt>
                <c:pt idx="3">
                  <c:v>K - Asian/Asian British Bangladeshi</c:v>
                </c:pt>
                <c:pt idx="4">
                  <c:v>M - Black/Black British Carribean</c:v>
                </c:pt>
                <c:pt idx="5">
                  <c:v>N - Black/Black British African</c:v>
                </c:pt>
                <c:pt idx="6">
                  <c:v>Unknown</c:v>
                </c:pt>
              </c:strCache>
            </c:strRef>
          </c:cat>
          <c:val>
            <c:numRef>
              <c:f>Sheet2!$B$2:$B$8</c:f>
              <c:numCache>
                <c:formatCode>General</c:formatCode>
                <c:ptCount val="7"/>
                <c:pt idx="0">
                  <c:v>6577</c:v>
                </c:pt>
                <c:pt idx="1">
                  <c:v>154</c:v>
                </c:pt>
                <c:pt idx="2">
                  <c:v>399</c:v>
                </c:pt>
                <c:pt idx="3">
                  <c:v>79</c:v>
                </c:pt>
                <c:pt idx="4">
                  <c:v>205</c:v>
                </c:pt>
                <c:pt idx="5">
                  <c:v>46</c:v>
                </c:pt>
                <c:pt idx="6">
                  <c:v>248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'%'!$A$5</c:f>
              <c:strCache>
                <c:ptCount val="1"/>
                <c:pt idx="0">
                  <c:v>Male</c:v>
                </c:pt>
              </c:strCache>
            </c:strRef>
          </c:tx>
          <c:invertIfNegative val="0"/>
          <c:cat>
            <c:strRef>
              <c:f>'%'!$B$4:$F$4</c:f>
              <c:strCache>
                <c:ptCount val="5"/>
                <c:pt idx="0">
                  <c:v>% Quit Rate</c:v>
                </c:pt>
                <c:pt idx="1">
                  <c:v>% NRT Usage</c:v>
                </c:pt>
                <c:pt idx="2">
                  <c:v>% Champix Usage</c:v>
                </c:pt>
                <c:pt idx="3">
                  <c:v>NRT Quit Rate</c:v>
                </c:pt>
                <c:pt idx="4">
                  <c:v>Champix Quit Rate</c:v>
                </c:pt>
              </c:strCache>
            </c:strRef>
          </c:cat>
          <c:val>
            <c:numRef>
              <c:f>'%'!$B$5:$F$5</c:f>
              <c:numCache>
                <c:formatCode>0.0%</c:formatCode>
                <c:ptCount val="5"/>
                <c:pt idx="0">
                  <c:v>0.52103931938376635</c:v>
                </c:pt>
                <c:pt idx="1">
                  <c:v>0.80179351575074731</c:v>
                </c:pt>
                <c:pt idx="2">
                  <c:v>0.16831455507013113</c:v>
                </c:pt>
                <c:pt idx="3">
                  <c:v>0.50215084599942639</c:v>
                </c:pt>
                <c:pt idx="4">
                  <c:v>0.60655737704918056</c:v>
                </c:pt>
              </c:numCache>
            </c:numRef>
          </c:val>
        </c:ser>
        <c:ser>
          <c:idx val="1"/>
          <c:order val="1"/>
          <c:tx>
            <c:strRef>
              <c:f>'%'!$A$6</c:f>
              <c:strCache>
                <c:ptCount val="1"/>
                <c:pt idx="0">
                  <c:v>Female</c:v>
                </c:pt>
              </c:strCache>
            </c:strRef>
          </c:tx>
          <c:invertIfNegative val="0"/>
          <c:cat>
            <c:strRef>
              <c:f>'%'!$B$4:$F$4</c:f>
              <c:strCache>
                <c:ptCount val="5"/>
                <c:pt idx="0">
                  <c:v>% Quit Rate</c:v>
                </c:pt>
                <c:pt idx="1">
                  <c:v>% NRT Usage</c:v>
                </c:pt>
                <c:pt idx="2">
                  <c:v>% Champix Usage</c:v>
                </c:pt>
                <c:pt idx="3">
                  <c:v>NRT Quit Rate</c:v>
                </c:pt>
                <c:pt idx="4">
                  <c:v>Champix Quit Rate</c:v>
                </c:pt>
              </c:strCache>
            </c:strRef>
          </c:cat>
          <c:val>
            <c:numRef>
              <c:f>'%'!$B$6:$F$6</c:f>
              <c:numCache>
                <c:formatCode>0.0%</c:formatCode>
                <c:ptCount val="5"/>
                <c:pt idx="0">
                  <c:v>0.48519260743709641</c:v>
                </c:pt>
                <c:pt idx="1">
                  <c:v>0.77955911823647328</c:v>
                </c:pt>
                <c:pt idx="2">
                  <c:v>0.18704074816299279</c:v>
                </c:pt>
                <c:pt idx="3">
                  <c:v>0.45844044558697516</c:v>
                </c:pt>
                <c:pt idx="4">
                  <c:v>0.59166666666666656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7331584"/>
        <c:axId val="67333120"/>
      </c:barChart>
      <c:catAx>
        <c:axId val="67331584"/>
        <c:scaling>
          <c:orientation val="minMax"/>
        </c:scaling>
        <c:delete val="0"/>
        <c:axPos val="b"/>
        <c:majorTickMark val="out"/>
        <c:minorTickMark val="none"/>
        <c:tickLblPos val="nextTo"/>
        <c:crossAx val="67333120"/>
        <c:crosses val="autoZero"/>
        <c:auto val="1"/>
        <c:lblAlgn val="ctr"/>
        <c:lblOffset val="100"/>
        <c:noMultiLvlLbl val="0"/>
      </c:catAx>
      <c:valAx>
        <c:axId val="67333120"/>
        <c:scaling>
          <c:orientation val="minMax"/>
        </c:scaling>
        <c:delete val="0"/>
        <c:axPos val="l"/>
        <c:majorGridlines/>
        <c:numFmt formatCode="0.0%" sourceLinked="1"/>
        <c:majorTickMark val="out"/>
        <c:minorTickMark val="none"/>
        <c:tickLblPos val="nextTo"/>
        <c:crossAx val="673315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23148995</Template>
  <TotalTime>0</TotalTime>
  <Pages>2</Pages>
  <Words>169</Words>
  <Characters>969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david.fish</dc:creator>
  <cp:lastModifiedBy>Christopher Bird</cp:lastModifiedBy>
  <cp:revision>2</cp:revision>
  <dcterms:created xsi:type="dcterms:W3CDTF">2013-03-11T14:01:00Z</dcterms:created>
  <dcterms:modified xsi:type="dcterms:W3CDTF">2013-03-11T14:01:00Z</dcterms:modified>
</cp:coreProperties>
</file>